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692" w:type="dxa"/>
        <w:tblLook w:val="0000"/>
      </w:tblPr>
      <w:tblGrid>
        <w:gridCol w:w="4180"/>
        <w:gridCol w:w="2006"/>
        <w:gridCol w:w="4506"/>
      </w:tblGrid>
      <w:tr w:rsidR="00D12374" w:rsidTr="00D12374">
        <w:trPr>
          <w:trHeight w:val="1985"/>
        </w:trPr>
        <w:tc>
          <w:tcPr>
            <w:tcW w:w="4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2374" w:rsidRDefault="00D12374" w:rsidP="00000763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D12374" w:rsidRDefault="00D12374" w:rsidP="00000763">
            <w:pPr>
              <w:pStyle w:val="1"/>
              <w:rPr>
                <w:sz w:val="18"/>
                <w:szCs w:val="18"/>
              </w:rPr>
            </w:pPr>
          </w:p>
          <w:p w:rsidR="00D12374" w:rsidRDefault="00D12374" w:rsidP="00000763">
            <w:pPr>
              <w:pStyle w:val="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b/>
                <w:sz w:val="18"/>
                <w:szCs w:val="18"/>
              </w:rPr>
              <w:t xml:space="preserve">Саха </w:t>
            </w:r>
            <w:proofErr w:type="spellStart"/>
            <w:r>
              <w:rPr>
                <w:b/>
                <w:sz w:val="18"/>
                <w:szCs w:val="18"/>
              </w:rPr>
              <w:t>Республикатын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Булуу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улуу</w:t>
            </w:r>
            <w:proofErr w:type="gramStart"/>
            <w:r>
              <w:rPr>
                <w:b/>
                <w:sz w:val="18"/>
                <w:szCs w:val="18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ун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оройуонун</w:t>
            </w:r>
            <w:proofErr w:type="spellEnd"/>
            <w:r>
              <w:rPr>
                <w:b/>
                <w:sz w:val="18"/>
                <w:szCs w:val="18"/>
              </w:rPr>
              <w:t>)»</w:t>
            </w:r>
          </w:p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Кы</w:t>
            </w:r>
            <w:proofErr w:type="gramStart"/>
            <w:r>
              <w:rPr>
                <w:b/>
                <w:sz w:val="18"/>
                <w:szCs w:val="18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ыл-Сыыр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муниципальнай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тэриллиитэ</w:t>
            </w:r>
            <w:proofErr w:type="spellEnd"/>
          </w:p>
          <w:p w:rsidR="00D12374" w:rsidRDefault="00D12374" w:rsidP="00000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678214, Саха </w:t>
            </w:r>
            <w:proofErr w:type="spellStart"/>
            <w:r>
              <w:rPr>
                <w:sz w:val="18"/>
                <w:szCs w:val="18"/>
              </w:rPr>
              <w:t>Республиката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Булуу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улуу</w:t>
            </w:r>
            <w:proofErr w:type="gramStart"/>
            <w:r>
              <w:rPr>
                <w:sz w:val="18"/>
                <w:szCs w:val="18"/>
              </w:rPr>
              <w:t>h</w:t>
            </w:r>
            <w:proofErr w:type="gramEnd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12374" w:rsidRDefault="00D12374" w:rsidP="0000076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Кы</w:t>
            </w:r>
            <w:proofErr w:type="gramStart"/>
            <w:r>
              <w:rPr>
                <w:sz w:val="18"/>
                <w:szCs w:val="18"/>
              </w:rPr>
              <w:t>h</w:t>
            </w:r>
            <w:proofErr w:type="gramEnd"/>
            <w:r>
              <w:rPr>
                <w:sz w:val="18"/>
                <w:szCs w:val="18"/>
              </w:rPr>
              <w:t>ыл-Сыыр</w:t>
            </w:r>
            <w:proofErr w:type="spellEnd"/>
            <w:r>
              <w:rPr>
                <w:sz w:val="18"/>
                <w:szCs w:val="18"/>
              </w:rPr>
              <w:t xml:space="preserve"> с., тел. (41132) 20-207, факс 20-208</w:t>
            </w:r>
          </w:p>
        </w:tc>
        <w:tc>
          <w:tcPr>
            <w:tcW w:w="20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2374" w:rsidRDefault="00D12374" w:rsidP="0000076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5825" cy="1266825"/>
                  <wp:effectExtent l="19050" t="0" r="952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</w:p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</w:p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«пос. Кысыл-Сыр»</w:t>
            </w:r>
          </w:p>
          <w:p w:rsidR="00D12374" w:rsidRDefault="00D12374" w:rsidP="000007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«Вилюйский улус (район)» РС (Я)</w:t>
            </w:r>
          </w:p>
          <w:p w:rsidR="00D12374" w:rsidRDefault="00D12374" w:rsidP="00000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678214, Республика Саха (Якутия), Вилюйский улус,</w:t>
            </w:r>
          </w:p>
          <w:p w:rsidR="00D12374" w:rsidRDefault="00D12374" w:rsidP="00D123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Кысыл-Сыр, тел. (41132) 20-207, факс 20-208</w:t>
            </w:r>
          </w:p>
        </w:tc>
      </w:tr>
    </w:tbl>
    <w:p w:rsidR="00697F46" w:rsidRDefault="00234045" w:rsidP="00D12374">
      <w:pPr>
        <w:jc w:val="both"/>
      </w:pPr>
      <w:r>
        <w:t>«</w:t>
      </w:r>
      <w:r w:rsidR="00AD3EF1">
        <w:t>22</w:t>
      </w:r>
      <w:r>
        <w:t>» декабря 2014</w:t>
      </w:r>
      <w:r w:rsidR="00D12374">
        <w:t xml:space="preserve">г. состоялся отчет главы МО «поселок Кысыл-Сыр» перед населением поселка о </w:t>
      </w:r>
      <w:r>
        <w:t>выполненной работе за 2014</w:t>
      </w:r>
      <w:r w:rsidR="00D12374">
        <w:t xml:space="preserve"> год.</w:t>
      </w:r>
    </w:p>
    <w:p w:rsidR="00D12374" w:rsidRDefault="00D12374" w:rsidP="00D12374">
      <w:pPr>
        <w:jc w:val="both"/>
      </w:pPr>
    </w:p>
    <w:p w:rsidR="0039577D" w:rsidRDefault="00D12374" w:rsidP="0039577D">
      <w:pPr>
        <w:jc w:val="center"/>
      </w:pPr>
      <w:r>
        <w:t xml:space="preserve">Уважаемые </w:t>
      </w:r>
      <w:r w:rsidR="0039577D">
        <w:t xml:space="preserve"> </w:t>
      </w:r>
      <w:r w:rsidR="00251008">
        <w:t>Кысыл-Сыр</w:t>
      </w:r>
      <w:r>
        <w:t>цы!</w:t>
      </w:r>
    </w:p>
    <w:p w:rsidR="00D12374" w:rsidRDefault="0039577D" w:rsidP="00D12374">
      <w:pPr>
        <w:jc w:val="both"/>
      </w:pPr>
      <w:r>
        <w:t xml:space="preserve">        </w:t>
      </w:r>
      <w:r w:rsidR="00234045">
        <w:t>В 2014</w:t>
      </w:r>
      <w:r w:rsidR="00D12374">
        <w:t xml:space="preserve"> году администрацией посел</w:t>
      </w:r>
      <w:r w:rsidR="00234045">
        <w:t>ка были продолжены  работы по приведению в соответствие</w:t>
      </w:r>
      <w:r w:rsidR="00D12374">
        <w:t xml:space="preserve"> с требованиями законодательства РФ документации на жилищный фонд поселка. </w:t>
      </w:r>
    </w:p>
    <w:p w:rsidR="00D12374" w:rsidRDefault="00D12374" w:rsidP="00D12374">
      <w:pPr>
        <w:jc w:val="both"/>
      </w:pPr>
      <w:r>
        <w:t xml:space="preserve">   </w:t>
      </w:r>
      <w:r w:rsidR="007F0C1C">
        <w:t xml:space="preserve">   </w:t>
      </w:r>
      <w:r w:rsidR="00587EDC">
        <w:t xml:space="preserve"> </w:t>
      </w:r>
      <w:r w:rsidR="004F12A6">
        <w:t xml:space="preserve"> В реестр</w:t>
      </w:r>
      <w:r>
        <w:t xml:space="preserve"> муниципальной собственност</w:t>
      </w:r>
      <w:r w:rsidR="004F12A6">
        <w:t xml:space="preserve">и </w:t>
      </w:r>
      <w:r w:rsidR="00E51848">
        <w:t xml:space="preserve">внесены более 800 квартир, </w:t>
      </w:r>
      <w:r w:rsidR="00833223">
        <w:t xml:space="preserve">275 домов, </w:t>
      </w:r>
      <w:r w:rsidR="001733A0">
        <w:t xml:space="preserve"> более 100</w:t>
      </w:r>
      <w:r w:rsidR="00833223">
        <w:t>ш</w:t>
      </w:r>
      <w:r w:rsidR="001733A0">
        <w:t>т</w:t>
      </w:r>
      <w:r w:rsidR="007F0C1C">
        <w:t xml:space="preserve"> бесхозных объектов жилья</w:t>
      </w:r>
      <w:r w:rsidR="001733A0">
        <w:t>, проведено 25 судебных заседаний</w:t>
      </w:r>
      <w:r w:rsidR="00035C13">
        <w:t xml:space="preserve"> по поводу признания прав на недвижимость, </w:t>
      </w:r>
      <w:r w:rsidR="00EE1DBA">
        <w:t xml:space="preserve">в БТИ г. Вилюйска </w:t>
      </w:r>
      <w:r w:rsidR="00035C13">
        <w:t>ведется изготовление документов на 17</w:t>
      </w:r>
      <w:r w:rsidR="00EE1DBA">
        <w:t xml:space="preserve"> жилых домов</w:t>
      </w:r>
      <w:r w:rsidR="00833223">
        <w:t>, на 45 квартир</w:t>
      </w:r>
      <w:r w:rsidR="007F0C1C">
        <w:t xml:space="preserve"> документы находятся в стадии изготовления.</w:t>
      </w:r>
      <w:r w:rsidR="00656024">
        <w:t xml:space="preserve"> </w:t>
      </w:r>
    </w:p>
    <w:p w:rsidR="00AD3EF1" w:rsidRDefault="001E37AF" w:rsidP="00D12374">
      <w:pPr>
        <w:jc w:val="both"/>
      </w:pPr>
      <w:r>
        <w:t xml:space="preserve">    </w:t>
      </w:r>
      <w:r w:rsidR="00812E00">
        <w:t xml:space="preserve"> </w:t>
      </w:r>
      <w:r>
        <w:t>Проведен значительный объем работ по благоустройству поселка – убраны сгоревшие</w:t>
      </w:r>
      <w:r w:rsidR="004C4D5D">
        <w:t xml:space="preserve"> в разное время</w:t>
      </w:r>
      <w:r>
        <w:t xml:space="preserve"> дома, </w:t>
      </w:r>
      <w:proofErr w:type="spellStart"/>
      <w:r>
        <w:t>хоз</w:t>
      </w:r>
      <w:proofErr w:type="gramStart"/>
      <w:r>
        <w:t>.п</w:t>
      </w:r>
      <w:proofErr w:type="gramEnd"/>
      <w:r>
        <w:t>остройки</w:t>
      </w:r>
      <w:proofErr w:type="spellEnd"/>
      <w:r w:rsidR="0048454D">
        <w:t xml:space="preserve"> по адресам:</w:t>
      </w:r>
    </w:p>
    <w:p w:rsidR="001E37AF" w:rsidRDefault="00AD3EF1" w:rsidP="00D12374">
      <w:pPr>
        <w:jc w:val="both"/>
      </w:pPr>
      <w:r>
        <w:t>Геофизиков д.27а, Геофизиков 9а, Восточная 40а, Ленина 8а, Бабенко 15, Заозерная, Ленина 52а</w:t>
      </w:r>
      <w:r w:rsidR="001E37AF">
        <w:t>,</w:t>
      </w:r>
      <w:r>
        <w:t xml:space="preserve"> Ленина 8, Ленина 42,</w:t>
      </w:r>
      <w:r w:rsidR="001E37AF">
        <w:t xml:space="preserve"> </w:t>
      </w:r>
      <w:r>
        <w:t xml:space="preserve">Губкина 45, Мичурина 22, Мичурина 31, Пионерская 7, Пионерская 26, Пионерская 32, </w:t>
      </w:r>
      <w:proofErr w:type="spellStart"/>
      <w:r>
        <w:t>Портовская</w:t>
      </w:r>
      <w:proofErr w:type="spellEnd"/>
      <w:r>
        <w:t xml:space="preserve">, Строителей 11, пожарная часть, склад ТОРС, учебный комбинат, </w:t>
      </w:r>
      <w:r w:rsidR="001E37AF">
        <w:t>несанкционированные свалки.</w:t>
      </w:r>
    </w:p>
    <w:p w:rsidR="00AD3EF1" w:rsidRDefault="00AD3EF1" w:rsidP="00D12374">
      <w:pPr>
        <w:jc w:val="both"/>
      </w:pPr>
      <w:r>
        <w:t>Произведена замена кровли следующих зданий: Ленина 6, Пионерская 20, Мичурина 34, ремонт кровли спортивного зала.</w:t>
      </w:r>
    </w:p>
    <w:p w:rsidR="00AD3EF1" w:rsidRDefault="00AD3EF1" w:rsidP="00D12374">
      <w:pPr>
        <w:jc w:val="both"/>
      </w:pPr>
      <w:r>
        <w:t xml:space="preserve">Произведена промывка систем отопления зданий: Молодежная 11, Геофизиков 28, Мичурина 33, Мичурина 34, ремонт системы отопления квартир: </w:t>
      </w:r>
      <w:proofErr w:type="gramStart"/>
      <w:r>
        <w:t xml:space="preserve">Губкина 13 кв.1, </w:t>
      </w:r>
      <w:proofErr w:type="spellStart"/>
      <w:r>
        <w:t>Староватова</w:t>
      </w:r>
      <w:proofErr w:type="spellEnd"/>
      <w:r>
        <w:t xml:space="preserve"> д.1 кв.2,3, Молодежная д.9 кв.2, Молодежная д.19 кв.3, Молодежная д.11 кв.3,4, Молодежная д.5 кв.2, Молодежная д.17 кв.1,2, Строителей д.1 кв.2,4, Строителей д.3 кв.1, Строителей д.6 кв.3, Строителей д.13 кв.3.</w:t>
      </w:r>
      <w:proofErr w:type="gramEnd"/>
    </w:p>
    <w:p w:rsidR="00AD3EF1" w:rsidRDefault="00AD3EF1" w:rsidP="00D12374">
      <w:pPr>
        <w:jc w:val="both"/>
      </w:pPr>
      <w:r>
        <w:t xml:space="preserve"> Проведен ремонт электропроводки в домах: Мичурина 33, Мичурина 34, Бабенко 2, Бабенко 16, Пионерская 20, таежная 9а.</w:t>
      </w:r>
    </w:p>
    <w:p w:rsidR="001E37AF" w:rsidRDefault="001E37AF" w:rsidP="00D12374">
      <w:pPr>
        <w:jc w:val="both"/>
      </w:pPr>
      <w:r>
        <w:t xml:space="preserve">    </w:t>
      </w:r>
      <w:r w:rsidR="00812E00">
        <w:t xml:space="preserve"> </w:t>
      </w:r>
      <w:r w:rsidR="004C4D5D">
        <w:t xml:space="preserve">На улицах поселка установлено </w:t>
      </w:r>
      <w:r w:rsidR="00D167E4">
        <w:t>100 шт</w:t>
      </w:r>
      <w:r w:rsidR="00AD3EF1">
        <w:t>.</w:t>
      </w:r>
      <w:r w:rsidR="00D167E4">
        <w:t xml:space="preserve"> энергосберегающих светильников наружного освещения</w:t>
      </w:r>
      <w:r w:rsidR="009609F8">
        <w:t>, установлены  3 детских</w:t>
      </w:r>
      <w:r w:rsidR="0048454D">
        <w:t xml:space="preserve"> </w:t>
      </w:r>
      <w:r w:rsidR="009609F8">
        <w:t>площадки</w:t>
      </w:r>
      <w:r>
        <w:t>.</w:t>
      </w:r>
    </w:p>
    <w:p w:rsidR="001E37AF" w:rsidRDefault="001E37AF" w:rsidP="00D12374">
      <w:pPr>
        <w:jc w:val="both"/>
      </w:pPr>
      <w:r w:rsidRPr="009C7ED6">
        <w:rPr>
          <w:u w:val="single"/>
        </w:rPr>
        <w:t xml:space="preserve">По линии ЗАГС </w:t>
      </w:r>
      <w:r>
        <w:t>зарегистрированы бракосочетания</w:t>
      </w:r>
      <w:r w:rsidR="00612448">
        <w:t xml:space="preserve"> 14</w:t>
      </w:r>
      <w:r>
        <w:t xml:space="preserve">, выданы свидетельства о рождении </w:t>
      </w:r>
      <w:r w:rsidR="00612448">
        <w:t>28</w:t>
      </w:r>
      <w:r>
        <w:t xml:space="preserve"> ребенку. Оказано содействие гражданам </w:t>
      </w:r>
      <w:r w:rsidR="003B0B31">
        <w:t xml:space="preserve">в замене паспортов- 140 человек, прописано и </w:t>
      </w:r>
      <w:proofErr w:type="spellStart"/>
      <w:r w:rsidR="003B0B31">
        <w:t>перепрописано</w:t>
      </w:r>
      <w:proofErr w:type="spellEnd"/>
      <w:r>
        <w:t xml:space="preserve"> – 35 человек.</w:t>
      </w:r>
    </w:p>
    <w:p w:rsidR="001E37AF" w:rsidRDefault="001E37AF" w:rsidP="00D12374">
      <w:pPr>
        <w:jc w:val="both"/>
      </w:pPr>
      <w:r>
        <w:t xml:space="preserve">Проведены </w:t>
      </w:r>
      <w:r w:rsidR="00612448">
        <w:t>7</w:t>
      </w:r>
      <w:r>
        <w:t xml:space="preserve"> заседания административно-жилищной комиссии, улучшены жилищные условия </w:t>
      </w:r>
      <w:r w:rsidR="00612448">
        <w:t>22</w:t>
      </w:r>
      <w:r>
        <w:t xml:space="preserve"> семей.</w:t>
      </w:r>
    </w:p>
    <w:p w:rsidR="001E37AF" w:rsidRDefault="001E37AF" w:rsidP="00D12374">
      <w:pPr>
        <w:jc w:val="both"/>
      </w:pPr>
      <w:r>
        <w:t>По различным обращениям граждан проведено 3</w:t>
      </w:r>
      <w:r w:rsidR="00612448">
        <w:t>13</w:t>
      </w:r>
      <w:r>
        <w:t xml:space="preserve"> нотариальных действий. Выдано справок (различных) – </w:t>
      </w:r>
      <w:r w:rsidR="00612448">
        <w:t>300</w:t>
      </w:r>
      <w:r>
        <w:t xml:space="preserve"> шт.</w:t>
      </w:r>
    </w:p>
    <w:p w:rsidR="001E37AF" w:rsidRDefault="001E37AF" w:rsidP="00D12374">
      <w:pPr>
        <w:jc w:val="both"/>
      </w:pPr>
      <w:r w:rsidRPr="00812E00">
        <w:rPr>
          <w:u w:val="single"/>
        </w:rPr>
        <w:t>По линии обеспечения безопасности гражда</w:t>
      </w:r>
      <w:proofErr w:type="gramStart"/>
      <w:r w:rsidRPr="00812E00">
        <w:rPr>
          <w:u w:val="single"/>
        </w:rPr>
        <w:t>н</w:t>
      </w:r>
      <w:r>
        <w:t>-</w:t>
      </w:r>
      <w:proofErr w:type="gramEnd"/>
      <w:r>
        <w:t xml:space="preserve"> </w:t>
      </w:r>
      <w:r w:rsidR="00444D5A">
        <w:t>с</w:t>
      </w:r>
      <w:r w:rsidR="009C7ED6">
        <w:t xml:space="preserve">истематически проводится </w:t>
      </w:r>
      <w:r w:rsidR="00444D5A">
        <w:t>отлов безнадзорных животных (</w:t>
      </w:r>
      <w:r w:rsidR="009C7ED6">
        <w:t xml:space="preserve"> </w:t>
      </w:r>
      <w:r w:rsidR="00612448">
        <w:t>80</w:t>
      </w:r>
      <w:r w:rsidR="008929BE">
        <w:t xml:space="preserve"> </w:t>
      </w:r>
      <w:bookmarkStart w:id="0" w:name="_GoBack"/>
      <w:bookmarkEnd w:id="0"/>
      <w:r w:rsidR="009C7ED6">
        <w:t>шт.)</w:t>
      </w:r>
    </w:p>
    <w:p w:rsidR="009C7ED6" w:rsidRDefault="009C7ED6" w:rsidP="00D12374">
      <w:pPr>
        <w:jc w:val="both"/>
        <w:rPr>
          <w:u w:val="single"/>
        </w:rPr>
      </w:pPr>
      <w:r w:rsidRPr="00812E00">
        <w:rPr>
          <w:u w:val="single"/>
        </w:rPr>
        <w:t>По линии соц</w:t>
      </w:r>
      <w:proofErr w:type="gramStart"/>
      <w:r w:rsidRPr="00812E00">
        <w:rPr>
          <w:u w:val="single"/>
        </w:rPr>
        <w:t>.з</w:t>
      </w:r>
      <w:proofErr w:type="gramEnd"/>
      <w:r w:rsidRPr="00812E00">
        <w:rPr>
          <w:u w:val="single"/>
        </w:rPr>
        <w:t>ащиты:</w:t>
      </w:r>
    </w:p>
    <w:p w:rsidR="00812E00" w:rsidRDefault="00812E00" w:rsidP="00D12374">
      <w:pPr>
        <w:jc w:val="both"/>
      </w:pPr>
      <w:r>
        <w:t xml:space="preserve">Оказано содействие в получении материальной помощи – </w:t>
      </w:r>
      <w:r w:rsidR="00612448">
        <w:t>26</w:t>
      </w:r>
      <w:r>
        <w:t xml:space="preserve"> семьям,</w:t>
      </w:r>
    </w:p>
    <w:p w:rsidR="00812E00" w:rsidRDefault="0039577D" w:rsidP="00D12374">
      <w:pPr>
        <w:jc w:val="both"/>
      </w:pPr>
      <w:r>
        <w:t>в</w:t>
      </w:r>
      <w:r w:rsidR="00812E00">
        <w:t xml:space="preserve"> получении детских пособий- </w:t>
      </w:r>
      <w:r w:rsidR="00612448">
        <w:t>39</w:t>
      </w:r>
      <w:r w:rsidR="00812E00">
        <w:t>,</w:t>
      </w:r>
    </w:p>
    <w:p w:rsidR="0039577D" w:rsidRDefault="0039577D" w:rsidP="00D12374">
      <w:pPr>
        <w:jc w:val="both"/>
      </w:pPr>
      <w:r>
        <w:t>в</w:t>
      </w:r>
      <w:r w:rsidR="00812E00">
        <w:t xml:space="preserve"> получении выплат ветеранам труда – </w:t>
      </w:r>
      <w:r w:rsidR="00612448">
        <w:t>33</w:t>
      </w:r>
      <w:r w:rsidR="00812E00">
        <w:t xml:space="preserve">, </w:t>
      </w:r>
    </w:p>
    <w:p w:rsidR="0039577D" w:rsidRDefault="00812E00" w:rsidP="00D12374">
      <w:pPr>
        <w:jc w:val="both"/>
      </w:pPr>
      <w:r>
        <w:t xml:space="preserve">оформлено различных документов для </w:t>
      </w:r>
      <w:r w:rsidR="00612448">
        <w:t>4</w:t>
      </w:r>
      <w:r>
        <w:t xml:space="preserve">9 многодетных семей, </w:t>
      </w:r>
    </w:p>
    <w:p w:rsidR="0039577D" w:rsidRDefault="00812E00" w:rsidP="00D12374">
      <w:pPr>
        <w:jc w:val="both"/>
      </w:pPr>
      <w:r>
        <w:t xml:space="preserve">оказано содействие в оформлении звания «Ветеран труда» - 29 чел., </w:t>
      </w:r>
    </w:p>
    <w:p w:rsidR="0039577D" w:rsidRDefault="00812E00" w:rsidP="00D12374">
      <w:pPr>
        <w:jc w:val="both"/>
      </w:pPr>
      <w:proofErr w:type="gramStart"/>
      <w:r>
        <w:t>выявлены</w:t>
      </w:r>
      <w:proofErr w:type="gramEnd"/>
      <w:r>
        <w:t xml:space="preserve"> и поставлены на учет в КДН – </w:t>
      </w:r>
      <w:r w:rsidR="00612448">
        <w:t>1 семья</w:t>
      </w:r>
      <w:r>
        <w:t>, злоупотребляющ</w:t>
      </w:r>
      <w:r w:rsidR="00612448">
        <w:t>ая</w:t>
      </w:r>
      <w:r>
        <w:t xml:space="preserve"> спиртными напитками</w:t>
      </w:r>
      <w:r w:rsidR="0039577D">
        <w:t xml:space="preserve">, </w:t>
      </w:r>
    </w:p>
    <w:p w:rsidR="0039577D" w:rsidRDefault="0039577D" w:rsidP="00D12374">
      <w:pPr>
        <w:jc w:val="both"/>
      </w:pPr>
      <w:r>
        <w:lastRenderedPageBreak/>
        <w:t xml:space="preserve">проводится постоянная работа по линии КДН с </w:t>
      </w:r>
      <w:r w:rsidR="00612448">
        <w:t>14</w:t>
      </w:r>
      <w:r>
        <w:t xml:space="preserve"> неблагополучной семьей, </w:t>
      </w:r>
    </w:p>
    <w:p w:rsidR="00812E00" w:rsidRDefault="00612448" w:rsidP="00D12374">
      <w:pPr>
        <w:jc w:val="both"/>
      </w:pPr>
      <w:r>
        <w:t>9</w:t>
      </w:r>
      <w:r w:rsidR="0039577D">
        <w:t>-мя несовершеннолетними.</w:t>
      </w:r>
    </w:p>
    <w:p w:rsidR="0039577D" w:rsidRDefault="0039577D" w:rsidP="00D12374">
      <w:pPr>
        <w:jc w:val="both"/>
      </w:pPr>
      <w:r>
        <w:t xml:space="preserve">Проведено </w:t>
      </w:r>
      <w:r w:rsidR="00612448">
        <w:t>78</w:t>
      </w:r>
      <w:r>
        <w:t xml:space="preserve"> рейда по обследованию неблагополучных семей. Соц</w:t>
      </w:r>
      <w:proofErr w:type="gramStart"/>
      <w:r>
        <w:t>.р</w:t>
      </w:r>
      <w:proofErr w:type="gramEnd"/>
      <w:r>
        <w:t>аботники обслуживают 13 престарелых одиноких граждан.</w:t>
      </w:r>
    </w:p>
    <w:p w:rsidR="001E37AF" w:rsidRDefault="0039577D" w:rsidP="00D12374">
      <w:pPr>
        <w:jc w:val="both"/>
      </w:pPr>
      <w:r>
        <w:t>В клубе и спортивном зале систематически проводятся культ</w:t>
      </w:r>
      <w:r w:rsidR="004C5E6D">
        <w:t>урные и спортивные мероприятия.</w:t>
      </w:r>
    </w:p>
    <w:p w:rsidR="001E37AF" w:rsidRDefault="001E37AF" w:rsidP="00D12374">
      <w:pPr>
        <w:jc w:val="both"/>
      </w:pPr>
    </w:p>
    <w:p w:rsidR="00D12374" w:rsidRDefault="00D12374"/>
    <w:sectPr w:rsidR="00D12374" w:rsidSect="0069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374"/>
    <w:rsid w:val="00035C13"/>
    <w:rsid w:val="0004257B"/>
    <w:rsid w:val="0013471A"/>
    <w:rsid w:val="001733A0"/>
    <w:rsid w:val="001E37AF"/>
    <w:rsid w:val="00234045"/>
    <w:rsid w:val="00251008"/>
    <w:rsid w:val="0039577D"/>
    <w:rsid w:val="003A42DB"/>
    <w:rsid w:val="003B0B31"/>
    <w:rsid w:val="00444D5A"/>
    <w:rsid w:val="00447D96"/>
    <w:rsid w:val="0048454D"/>
    <w:rsid w:val="004C4D5D"/>
    <w:rsid w:val="004C5E6D"/>
    <w:rsid w:val="004F12A6"/>
    <w:rsid w:val="005516A8"/>
    <w:rsid w:val="00587EDC"/>
    <w:rsid w:val="00612448"/>
    <w:rsid w:val="00641A91"/>
    <w:rsid w:val="00656024"/>
    <w:rsid w:val="00681F4E"/>
    <w:rsid w:val="00697F46"/>
    <w:rsid w:val="007773E5"/>
    <w:rsid w:val="00791660"/>
    <w:rsid w:val="007F0C1C"/>
    <w:rsid w:val="00812E00"/>
    <w:rsid w:val="00833223"/>
    <w:rsid w:val="008662EF"/>
    <w:rsid w:val="008929BE"/>
    <w:rsid w:val="0091062F"/>
    <w:rsid w:val="009609F8"/>
    <w:rsid w:val="009C7ED6"/>
    <w:rsid w:val="00AD3EF1"/>
    <w:rsid w:val="00BE141A"/>
    <w:rsid w:val="00C50DC1"/>
    <w:rsid w:val="00C7178F"/>
    <w:rsid w:val="00D12374"/>
    <w:rsid w:val="00D167E4"/>
    <w:rsid w:val="00E51848"/>
    <w:rsid w:val="00ED0DF5"/>
    <w:rsid w:val="00EE1DBA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37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3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16</cp:revision>
  <cp:lastPrinted>2015-02-06T02:04:00Z</cp:lastPrinted>
  <dcterms:created xsi:type="dcterms:W3CDTF">2014-01-15T04:11:00Z</dcterms:created>
  <dcterms:modified xsi:type="dcterms:W3CDTF">2015-02-06T04:01:00Z</dcterms:modified>
</cp:coreProperties>
</file>